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217920" cy="5029200"/>
            <wp:docPr id="1" name="Picture 1"/>
            <wp:cNvGraphicFramePr>
              <a:graphicFrameLocks noChangeAspect="1"/>
            </wp:cNvGraphicFramePr>
            <a:graphic>
              <a:graphicData uri="http://schemas.openxmlformats.org/drawingml/2006/picture">
                <pic:pic>
                  <pic:nvPicPr>
                    <pic:cNvPr id="0" name="guidance-ambassadors-global-landmarks-v3.png"/>
                    <pic:cNvPicPr/>
                  </pic:nvPicPr>
                  <pic:blipFill>
                    <a:blip r:embed="rId11"/>
                    <a:stretch>
                      <a:fillRect/>
                    </a:stretch>
                  </pic:blipFill>
                  <pic:spPr>
                    <a:xfrm>
                      <a:off x="0" y="0"/>
                      <a:ext cx="6217920" cy="5029200"/>
                    </a:xfrm>
                    <a:prstGeom prst="rect"/>
                  </pic:spPr>
                </pic:pic>
              </a:graphicData>
            </a:graphic>
          </wp:inline>
        </w:drawing>
      </w:r>
    </w:p>
    <w:p>
      <w:pPr>
        <w:jc w:val="center"/>
      </w:pPr>
      <w:r>
        <w:rPr>
          <w:rFonts w:ascii="Arial" w:hAnsi="Arial" w:cs="Arial"/>
          <w:b/>
          <w:color w:val="073F36"/>
          <w:sz w:val="58"/>
        </w:rPr>
        <w:t>سفراء الصراط المستقيم</w:t>
      </w:r>
    </w:p>
    <w:p>
      <w:pPr>
        <w:jc w:val="center"/>
      </w:pPr>
      <w:r>
        <w:rPr>
          <w:rFonts w:ascii="Arial" w:hAnsi="Arial" w:cs="Arial"/>
          <w:b/>
          <w:color w:val="5B2A83"/>
          <w:sz w:val="46"/>
        </w:rPr>
        <w:t>سفراء الهداية</w:t>
      </w:r>
    </w:p>
    <w:p>
      <w:pPr>
        <w:jc w:val="center"/>
      </w:pPr>
      <w:r>
        <w:rPr>
          <w:rFonts w:ascii="Arial" w:hAnsi="Arial" w:cs="Arial"/>
          <w:b/>
          <w:color w:val="B9974E"/>
          <w:sz w:val="28"/>
        </w:rPr>
        <w:t>مشروع مئة سفير بمئة لغة</w:t>
      </w:r>
    </w:p>
    <w:p>
      <w:pPr>
        <w:spacing w:before="320"/>
        <w:jc w:val="center"/>
      </w:pPr>
      <w:r>
        <w:rPr>
          <w:rFonts w:ascii="Arial" w:hAnsi="Arial" w:cs="Arial"/>
          <w:b w:val="0"/>
          <w:color w:val="173C34"/>
          <w:sz w:val="24"/>
        </w:rPr>
        <w:t>بلغ الرحمة بلغتك، وكن جسرًا للهداية لا حاجزًا أمامها</w:t>
      </w:r>
    </w:p>
    <w:p>
      <w:pPr>
        <w:jc w:val="center"/>
      </w:pPr>
      <w:r>
        <w:rPr>
          <w:rFonts w:ascii="Arial" w:hAnsi="Arial" w:cs="Arial"/>
          <w:b w:val="0"/>
          <w:color w:val="667A73"/>
          <w:sz w:val="16"/>
        </w:rPr>
        <w:t>الوثيقة التأسيسية · توصيف الدور · الميثاق · المنهج · البروتوكول · التشغيل</w:t>
      </w:r>
    </w:p>
    <w:p>
      <w:r>
        <w:br w:type="page"/>
      </w:r>
    </w:p>
    <w:p>
      <w:pPr>
        <w:pStyle w:val="Heading1"/>
        <w:jc w:val="right"/>
        <w:bidi/>
      </w:pPr>
      <w:r>
        <w:rPr>
          <w:rFonts w:ascii="Arial" w:hAnsi="Arial" w:cs="Arial"/>
          <w:b/>
          <w:color w:val="073F36"/>
          <w:sz w:val="36"/>
        </w:rPr>
        <w:t>1. التعريف</w:t>
      </w:r>
    </w:p>
    <w:p>
      <w:pPr>
        <w:jc w:val="right"/>
        <w:bidi/>
      </w:pPr>
      <w:r>
        <w:rPr>
          <w:rFonts w:ascii="Arial" w:hAnsi="Arial" w:cs="Arial"/>
          <w:b w:val="0"/>
          <w:color w:val="173C34"/>
          <w:sz w:val="22"/>
        </w:rPr>
        <w:t>مبادرة عالمية لاستقطاب وتأهيل مئة سفير وسفيرة يمثلون اللغات المعتمدة في منصة إهدنا، ويسهمون في إيصال التعريف الصحيح والرحيم بالإسلام، ومراجعة المحتوى بلغاتهم، وفهم السياق الثقافي، وإحالة الراغبين إلى المسارات والمختصين المناسبين.</w:t>
      </w:r>
    </w:p>
    <w:p>
      <w:pPr>
        <w:jc w:val="right"/>
        <w:bidi/>
      </w:pPr>
      <w:r>
        <w:rPr>
          <w:rFonts w:ascii="Arial" w:hAnsi="Arial" w:cs="Arial"/>
          <w:b w:val="0"/>
          <w:color w:val="173C34"/>
          <w:sz w:val="22"/>
        </w:rPr>
        <w:t>السفير ليس مفتيًا، ولا متحدثًا باسم الإسلام من تلقاء نفسه، ولا جامع تبرعات، ولا ممثلًا قانونيًا للمؤسسة ما لم يحصل على تفويض مكتوب. إنه أمين لغة وثقافة وتواصل، يعمل ضمن منهج ومحتوى معتمدين.</w:t>
      </w:r>
    </w:p>
    <w:p>
      <w:pPr>
        <w:pStyle w:val="Heading1"/>
        <w:jc w:val="right"/>
        <w:bidi/>
      </w:pPr>
      <w:r>
        <w:rPr>
          <w:rFonts w:ascii="Arial" w:hAnsi="Arial" w:cs="Arial"/>
          <w:b/>
          <w:color w:val="073F36"/>
          <w:sz w:val="36"/>
        </w:rPr>
        <w:t>2. الرؤية والرسالة</w:t>
      </w:r>
    </w:p>
    <w:p>
      <w:pPr>
        <w:jc w:val="right"/>
        <w:bidi/>
      </w:pPr>
      <w:r>
        <w:rPr>
          <w:rFonts w:ascii="Arial" w:hAnsi="Arial" w:cs="Arial"/>
          <w:b w:val="0"/>
          <w:color w:val="173C34"/>
          <w:sz w:val="22"/>
        </w:rPr>
        <w:t>الرؤية: شبكة عالمية موثوقة تجعل رسالة الإسلام الأساسية مفهومة ومتاحة لكل إنسان بلغته وبطريقة تحترم ثقافته وكرامته وقدرته.</w:t>
      </w:r>
    </w:p>
    <w:p>
      <w:pPr>
        <w:jc w:val="right"/>
        <w:bidi/>
      </w:pPr>
      <w:r>
        <w:rPr>
          <w:rFonts w:ascii="Arial" w:hAnsi="Arial" w:cs="Arial"/>
          <w:b w:val="0"/>
          <w:color w:val="173C34"/>
          <w:sz w:val="22"/>
        </w:rPr>
        <w:t>الرسالة: اختيار وتأهيل ومرافقة سفراء يجمعون سلامة اللغة، وحسن الخلق، والأمانة، والانضباط، ليترجموا ويشرحوا ويصغوا ويحيلوا ضمن نظام مراجعة وقياس واضح.</w:t>
      </w:r>
    </w:p>
    <w:p>
      <w:pPr>
        <w:pStyle w:val="Heading1"/>
        <w:jc w:val="right"/>
        <w:bidi/>
      </w:pPr>
      <w:r>
        <w:rPr>
          <w:rFonts w:ascii="Arial" w:hAnsi="Arial" w:cs="Arial"/>
          <w:b/>
          <w:color w:val="073F36"/>
          <w:sz w:val="36"/>
        </w:rPr>
        <w:t>3. أهداف المبادرة</w:t>
      </w:r>
    </w:p>
    <w:p>
      <w:pPr>
        <w:pStyle w:val="ListBullet"/>
        <w:jc w:val="right"/>
        <w:bidi/>
      </w:pPr>
      <w:r>
        <w:rPr>
          <w:rFonts w:ascii="Arial" w:hAnsi="Arial" w:cs="Arial"/>
          <w:b w:val="0"/>
          <w:color w:val="173C34"/>
          <w:sz w:val="21"/>
        </w:rPr>
        <w:t>توفير سفير مؤهل لكل لغة معتمدة.</w:t>
      </w:r>
    </w:p>
    <w:p>
      <w:pPr>
        <w:pStyle w:val="ListBullet"/>
        <w:jc w:val="right"/>
        <w:bidi/>
      </w:pPr>
      <w:r>
        <w:rPr>
          <w:rFonts w:ascii="Arial" w:hAnsi="Arial" w:cs="Arial"/>
          <w:b w:val="0"/>
          <w:color w:val="173C34"/>
          <w:sz w:val="21"/>
        </w:rPr>
        <w:t>مراجعة الرسائل والواجهات والترجمات بشريًا.</w:t>
      </w:r>
    </w:p>
    <w:p>
      <w:pPr>
        <w:pStyle w:val="ListBullet"/>
        <w:jc w:val="right"/>
        <w:bidi/>
      </w:pPr>
      <w:r>
        <w:rPr>
          <w:rFonts w:ascii="Arial" w:hAnsi="Arial" w:cs="Arial"/>
          <w:b w:val="0"/>
          <w:color w:val="173C34"/>
          <w:sz w:val="21"/>
        </w:rPr>
        <w:t>بناء جسور ثقة مع المجتمعات المحلية.</w:t>
      </w:r>
    </w:p>
    <w:p>
      <w:pPr>
        <w:pStyle w:val="ListBullet"/>
        <w:jc w:val="right"/>
        <w:bidi/>
      </w:pPr>
      <w:r>
        <w:rPr>
          <w:rFonts w:ascii="Arial" w:hAnsi="Arial" w:cs="Arial"/>
          <w:b w:val="0"/>
          <w:color w:val="173C34"/>
          <w:sz w:val="21"/>
        </w:rPr>
        <w:t>مرافقة الباحث عن الإسلام والمسلم الجديد دون ضغط أو استغلال.</w:t>
      </w:r>
    </w:p>
    <w:p>
      <w:pPr>
        <w:pStyle w:val="ListBullet"/>
        <w:jc w:val="right"/>
        <w:bidi/>
      </w:pPr>
      <w:r>
        <w:rPr>
          <w:rFonts w:ascii="Arial" w:hAnsi="Arial" w:cs="Arial"/>
          <w:b w:val="0"/>
          <w:color w:val="173C34"/>
          <w:sz w:val="21"/>
        </w:rPr>
        <w:t>اكتشاف الحواجز الثقافية واللغوية وحواجز الوصول.</w:t>
      </w:r>
    </w:p>
    <w:p>
      <w:pPr>
        <w:pStyle w:val="ListBullet"/>
        <w:jc w:val="right"/>
        <w:bidi/>
      </w:pPr>
      <w:r>
        <w:rPr>
          <w:rFonts w:ascii="Arial" w:hAnsi="Arial" w:cs="Arial"/>
          <w:b w:val="0"/>
          <w:color w:val="173C34"/>
          <w:sz w:val="21"/>
        </w:rPr>
        <w:t>تكوين قاعدة معرفة سياقية لكل لغة ودولة.</w:t>
      </w:r>
    </w:p>
    <w:p>
      <w:pPr>
        <w:pStyle w:val="ListBullet"/>
        <w:jc w:val="right"/>
        <w:bidi/>
      </w:pPr>
      <w:r>
        <w:rPr>
          <w:rFonts w:ascii="Arial" w:hAnsi="Arial" w:cs="Arial"/>
          <w:b w:val="0"/>
          <w:color w:val="173C34"/>
          <w:sz w:val="21"/>
        </w:rPr>
        <w:t>إنشاء قيادات خادمة تنقل المعرفة إلى عمل رحيم.</w:t>
      </w:r>
    </w:p>
    <w:p>
      <w:pPr>
        <w:pStyle w:val="Heading1"/>
        <w:jc w:val="right"/>
        <w:bidi/>
      </w:pPr>
      <w:r>
        <w:rPr>
          <w:rFonts w:ascii="Arial" w:hAnsi="Arial" w:cs="Arial"/>
          <w:b/>
          <w:color w:val="073F36"/>
          <w:sz w:val="36"/>
        </w:rPr>
        <w:t>4. توصيف سفير الهداية</w:t>
      </w:r>
    </w:p>
    <w:p>
      <w:pPr>
        <w:jc w:val="right"/>
        <w:bidi/>
      </w:pPr>
      <w:r>
        <w:rPr>
          <w:rFonts w:ascii="Arial" w:hAnsi="Arial" w:cs="Arial"/>
          <w:b w:val="0"/>
          <w:color w:val="173C34"/>
          <w:sz w:val="22"/>
        </w:rPr>
        <w:t>سفير الهداية متطوع أو متعاون معتمد، يتقن لغة مستهدفة، ويفهم ثقافتها، ويلتزم بميثاق المؤسسة، ويؤدي مهامًا محددة تحت إشراف منسق اللغة والجودة.</w:t>
      </w:r>
    </w:p>
    <w:p>
      <w:pPr>
        <w:pStyle w:val="Heading2"/>
        <w:jc w:val="right"/>
        <w:bidi/>
      </w:pPr>
      <w:r>
        <w:rPr>
          <w:rFonts w:ascii="Arial" w:hAnsi="Arial" w:cs="Arial"/>
          <w:b/>
          <w:color w:val="5B2A83"/>
          <w:sz w:val="28"/>
        </w:rPr>
        <w:t>الأدوار الممكنة</w:t>
      </w:r>
    </w:p>
    <w:p>
      <w:pPr>
        <w:pStyle w:val="ListBullet"/>
        <w:jc w:val="right"/>
        <w:bidi/>
      </w:pPr>
      <w:r>
        <w:rPr>
          <w:rFonts w:ascii="Arial" w:hAnsi="Arial" w:cs="Arial"/>
          <w:b w:val="0"/>
          <w:color w:val="173C34"/>
          <w:sz w:val="21"/>
        </w:rPr>
        <w:t>سفير لغة وترجمة.</w:t>
      </w:r>
    </w:p>
    <w:p>
      <w:pPr>
        <w:pStyle w:val="ListBullet"/>
        <w:jc w:val="right"/>
        <w:bidi/>
      </w:pPr>
      <w:r>
        <w:rPr>
          <w:rFonts w:ascii="Arial" w:hAnsi="Arial" w:cs="Arial"/>
          <w:b w:val="0"/>
          <w:color w:val="173C34"/>
          <w:sz w:val="21"/>
        </w:rPr>
        <w:t>سفير مجتمع وثقافة.</w:t>
      </w:r>
    </w:p>
    <w:p>
      <w:pPr>
        <w:pStyle w:val="ListBullet"/>
        <w:jc w:val="right"/>
        <w:bidi/>
      </w:pPr>
      <w:r>
        <w:rPr>
          <w:rFonts w:ascii="Arial" w:hAnsi="Arial" w:cs="Arial"/>
          <w:b w:val="0"/>
          <w:color w:val="173C34"/>
          <w:sz w:val="21"/>
        </w:rPr>
        <w:t>سفير مسلم جديد ومرافقة.</w:t>
      </w:r>
    </w:p>
    <w:p>
      <w:pPr>
        <w:pStyle w:val="ListBullet"/>
        <w:jc w:val="right"/>
        <w:bidi/>
      </w:pPr>
      <w:r>
        <w:rPr>
          <w:rFonts w:ascii="Arial" w:hAnsi="Arial" w:cs="Arial"/>
          <w:b w:val="0"/>
          <w:color w:val="173C34"/>
          <w:sz w:val="21"/>
        </w:rPr>
        <w:t>سفير وصول لذوي الإعاقة.</w:t>
      </w:r>
    </w:p>
    <w:p>
      <w:pPr>
        <w:pStyle w:val="ListBullet"/>
        <w:jc w:val="right"/>
        <w:bidi/>
      </w:pPr>
      <w:r>
        <w:rPr>
          <w:rFonts w:ascii="Arial" w:hAnsi="Arial" w:cs="Arial"/>
          <w:b w:val="0"/>
          <w:color w:val="173C34"/>
          <w:sz w:val="21"/>
        </w:rPr>
        <w:t>سفير محتوى وإعلام.</w:t>
      </w:r>
    </w:p>
    <w:p>
      <w:pPr>
        <w:pStyle w:val="ListBullet"/>
        <w:jc w:val="right"/>
        <w:bidi/>
      </w:pPr>
      <w:r>
        <w:rPr>
          <w:rFonts w:ascii="Arial" w:hAnsi="Arial" w:cs="Arial"/>
          <w:b w:val="0"/>
          <w:color w:val="173C34"/>
          <w:sz w:val="21"/>
        </w:rPr>
        <w:t>سفير شراكات ومراكز محلية.</w:t>
      </w:r>
    </w:p>
    <w:p>
      <w:pPr>
        <w:pStyle w:val="ListBullet"/>
        <w:jc w:val="right"/>
        <w:bidi/>
      </w:pPr>
      <w:r>
        <w:rPr>
          <w:rFonts w:ascii="Arial" w:hAnsi="Arial" w:cs="Arial"/>
          <w:b w:val="0"/>
          <w:color w:val="173C34"/>
          <w:sz w:val="21"/>
        </w:rPr>
        <w:t>سفير بحث وتوثيق.</w:t>
      </w:r>
    </w:p>
    <w:p>
      <w:pPr>
        <w:pStyle w:val="Heading1"/>
        <w:jc w:val="right"/>
        <w:bidi/>
      </w:pPr>
      <w:r>
        <w:rPr>
          <w:rFonts w:ascii="Arial" w:hAnsi="Arial" w:cs="Arial"/>
          <w:b/>
          <w:color w:val="073F36"/>
          <w:sz w:val="36"/>
        </w:rPr>
        <w:t>5. المهام</w:t>
      </w:r>
    </w:p>
    <w:p>
      <w:pPr>
        <w:pStyle w:val="ListBullet"/>
        <w:jc w:val="right"/>
        <w:bidi/>
      </w:pPr>
      <w:r>
        <w:rPr>
          <w:rFonts w:ascii="Arial" w:hAnsi="Arial" w:cs="Arial"/>
          <w:b w:val="0"/>
          <w:color w:val="173C34"/>
          <w:sz w:val="21"/>
        </w:rPr>
        <w:t>مراجعة الترجمة ودقتها وطبيعية لغتها.</w:t>
      </w:r>
    </w:p>
    <w:p>
      <w:pPr>
        <w:pStyle w:val="ListBullet"/>
        <w:jc w:val="right"/>
        <w:bidi/>
      </w:pPr>
      <w:r>
        <w:rPr>
          <w:rFonts w:ascii="Arial" w:hAnsi="Arial" w:cs="Arial"/>
          <w:b w:val="0"/>
          <w:color w:val="173C34"/>
          <w:sz w:val="21"/>
        </w:rPr>
        <w:t>تسجيل النطق الصحيح أو تنسيق إنتاجه عند الاعتماد.</w:t>
      </w:r>
    </w:p>
    <w:p>
      <w:pPr>
        <w:pStyle w:val="ListBullet"/>
        <w:jc w:val="right"/>
        <w:bidi/>
      </w:pPr>
      <w:r>
        <w:rPr>
          <w:rFonts w:ascii="Arial" w:hAnsi="Arial" w:cs="Arial"/>
          <w:b w:val="0"/>
          <w:color w:val="173C34"/>
          <w:sz w:val="21"/>
        </w:rPr>
        <w:t>شرح المصطلحات والسياقات التي قد يساء فهمها.</w:t>
      </w:r>
    </w:p>
    <w:p>
      <w:pPr>
        <w:pStyle w:val="ListBullet"/>
        <w:jc w:val="right"/>
        <w:bidi/>
      </w:pPr>
      <w:r>
        <w:rPr>
          <w:rFonts w:ascii="Arial" w:hAnsi="Arial" w:cs="Arial"/>
          <w:b w:val="0"/>
          <w:color w:val="173C34"/>
          <w:sz w:val="21"/>
        </w:rPr>
        <w:t>اختبار صفحات المنصة بلغته والإبلاغ عن العيوب.</w:t>
      </w:r>
    </w:p>
    <w:p>
      <w:pPr>
        <w:pStyle w:val="ListBullet"/>
        <w:jc w:val="right"/>
        <w:bidi/>
      </w:pPr>
      <w:r>
        <w:rPr>
          <w:rFonts w:ascii="Arial" w:hAnsi="Arial" w:cs="Arial"/>
          <w:b w:val="0"/>
          <w:color w:val="173C34"/>
          <w:sz w:val="21"/>
        </w:rPr>
        <w:t>الإجابة من المواد المعتمدة فقط، وإحالة الأسئلة التخصصية.</w:t>
      </w:r>
    </w:p>
    <w:p>
      <w:pPr>
        <w:pStyle w:val="ListBullet"/>
        <w:jc w:val="right"/>
        <w:bidi/>
      </w:pPr>
      <w:r>
        <w:rPr>
          <w:rFonts w:ascii="Arial" w:hAnsi="Arial" w:cs="Arial"/>
          <w:b w:val="0"/>
          <w:color w:val="173C34"/>
          <w:sz w:val="21"/>
        </w:rPr>
        <w:t>استقبال الراغبين بأدب وحفظ خصوصيتهم وعدم الضغط عليهم.</w:t>
      </w:r>
    </w:p>
    <w:p>
      <w:pPr>
        <w:pStyle w:val="ListBullet"/>
        <w:jc w:val="right"/>
        <w:bidi/>
      </w:pPr>
      <w:r>
        <w:rPr>
          <w:rFonts w:ascii="Arial" w:hAnsi="Arial" w:cs="Arial"/>
          <w:b w:val="0"/>
          <w:color w:val="173C34"/>
          <w:sz w:val="21"/>
        </w:rPr>
        <w:t>تعريف المجتمع بالمبادرة عبر قنوات قانونية وأخلاقية.</w:t>
      </w:r>
    </w:p>
    <w:p>
      <w:pPr>
        <w:pStyle w:val="ListBullet"/>
        <w:jc w:val="right"/>
        <w:bidi/>
      </w:pPr>
      <w:r>
        <w:rPr>
          <w:rFonts w:ascii="Arial" w:hAnsi="Arial" w:cs="Arial"/>
          <w:b w:val="0"/>
          <w:color w:val="173C34"/>
          <w:sz w:val="21"/>
        </w:rPr>
        <w:t>تقديم تقرير شهري مختصر عن العمل والملاحظات والأثر.</w:t>
      </w:r>
    </w:p>
    <w:p>
      <w:pPr>
        <w:pStyle w:val="ListBullet"/>
        <w:jc w:val="right"/>
        <w:bidi/>
      </w:pPr>
      <w:r>
        <w:rPr>
          <w:rFonts w:ascii="Arial" w:hAnsi="Arial" w:cs="Arial"/>
          <w:b w:val="0"/>
          <w:color w:val="173C34"/>
          <w:sz w:val="21"/>
        </w:rPr>
        <w:t>المشاركة في التدريب الدوري واجتماعات الجودة.</w:t>
      </w:r>
    </w:p>
    <w:p>
      <w:pPr>
        <w:pStyle w:val="Heading1"/>
        <w:jc w:val="right"/>
        <w:bidi/>
      </w:pPr>
      <w:r>
        <w:rPr>
          <w:rFonts w:ascii="Arial" w:hAnsi="Arial" w:cs="Arial"/>
          <w:b/>
          <w:color w:val="073F36"/>
          <w:sz w:val="36"/>
        </w:rPr>
        <w:t>6. الشروط</w:t>
      </w:r>
    </w:p>
    <w:p>
      <w:pPr>
        <w:pStyle w:val="Heading2"/>
        <w:jc w:val="right"/>
        <w:bidi/>
      </w:pPr>
      <w:r>
        <w:rPr>
          <w:rFonts w:ascii="Arial" w:hAnsi="Arial" w:cs="Arial"/>
          <w:b/>
          <w:color w:val="5B2A83"/>
          <w:sz w:val="28"/>
        </w:rPr>
        <w:t>شروط أساسية</w:t>
      </w:r>
    </w:p>
    <w:p>
      <w:pPr>
        <w:pStyle w:val="ListBullet"/>
        <w:jc w:val="right"/>
        <w:bidi/>
      </w:pPr>
      <w:r>
        <w:rPr>
          <w:rFonts w:ascii="Arial" w:hAnsi="Arial" w:cs="Arial"/>
          <w:b w:val="0"/>
          <w:color w:val="173C34"/>
          <w:sz w:val="21"/>
        </w:rPr>
        <w:t>العمر 18 عامًا أو أكثر.</w:t>
      </w:r>
    </w:p>
    <w:p>
      <w:pPr>
        <w:pStyle w:val="ListBullet"/>
        <w:jc w:val="right"/>
        <w:bidi/>
      </w:pPr>
      <w:r>
        <w:rPr>
          <w:rFonts w:ascii="Arial" w:hAnsi="Arial" w:cs="Arial"/>
          <w:b w:val="0"/>
          <w:color w:val="173C34"/>
          <w:sz w:val="21"/>
        </w:rPr>
        <w:t>إتقان اللغة المستهدفة تحدثًا أو كتابةً بحسب الدور.</w:t>
      </w:r>
    </w:p>
    <w:p>
      <w:pPr>
        <w:pStyle w:val="ListBullet"/>
        <w:jc w:val="right"/>
        <w:bidi/>
      </w:pPr>
      <w:r>
        <w:rPr>
          <w:rFonts w:ascii="Arial" w:hAnsi="Arial" w:cs="Arial"/>
          <w:b w:val="0"/>
          <w:color w:val="173C34"/>
          <w:sz w:val="21"/>
        </w:rPr>
        <w:t>القدرة على التواصل باحترام ووضوح.</w:t>
      </w:r>
    </w:p>
    <w:p>
      <w:pPr>
        <w:pStyle w:val="ListBullet"/>
        <w:jc w:val="right"/>
        <w:bidi/>
      </w:pPr>
      <w:r>
        <w:rPr>
          <w:rFonts w:ascii="Arial" w:hAnsi="Arial" w:cs="Arial"/>
          <w:b w:val="0"/>
          <w:color w:val="173C34"/>
          <w:sz w:val="21"/>
        </w:rPr>
        <w:t>الالتزام بالأمانة والسرية وسياسات المؤسسة.</w:t>
      </w:r>
    </w:p>
    <w:p>
      <w:pPr>
        <w:pStyle w:val="ListBullet"/>
        <w:jc w:val="right"/>
        <w:bidi/>
      </w:pPr>
      <w:r>
        <w:rPr>
          <w:rFonts w:ascii="Arial" w:hAnsi="Arial" w:cs="Arial"/>
          <w:b w:val="0"/>
          <w:color w:val="173C34"/>
          <w:sz w:val="21"/>
        </w:rPr>
        <w:t>قبول التدريب والاختبار وفترة التجربة.</w:t>
      </w:r>
    </w:p>
    <w:p>
      <w:pPr>
        <w:pStyle w:val="ListBullet"/>
        <w:jc w:val="right"/>
        <w:bidi/>
      </w:pPr>
      <w:r>
        <w:rPr>
          <w:rFonts w:ascii="Arial" w:hAnsi="Arial" w:cs="Arial"/>
          <w:b w:val="0"/>
          <w:color w:val="173C34"/>
          <w:sz w:val="21"/>
        </w:rPr>
        <w:t>عدم نشر محتوى باسم المبادرة قبل اعتماده.</w:t>
      </w:r>
    </w:p>
    <w:p>
      <w:pPr>
        <w:pStyle w:val="ListBullet"/>
        <w:jc w:val="right"/>
        <w:bidi/>
      </w:pPr>
      <w:r>
        <w:rPr>
          <w:rFonts w:ascii="Arial" w:hAnsi="Arial" w:cs="Arial"/>
          <w:b w:val="0"/>
          <w:color w:val="173C34"/>
          <w:sz w:val="21"/>
        </w:rPr>
        <w:t>الإفصاح عن أي تعارض مصالح أو انتماء يؤثر في الدور.</w:t>
      </w:r>
    </w:p>
    <w:p>
      <w:pPr>
        <w:pStyle w:val="Heading2"/>
        <w:jc w:val="right"/>
        <w:bidi/>
      </w:pPr>
      <w:r>
        <w:rPr>
          <w:rFonts w:ascii="Arial" w:hAnsi="Arial" w:cs="Arial"/>
          <w:b/>
          <w:color w:val="5B2A83"/>
          <w:sz w:val="28"/>
        </w:rPr>
        <w:t>شروط الأدوار الشرعية</w:t>
      </w:r>
    </w:p>
    <w:p>
      <w:pPr>
        <w:jc w:val="right"/>
        <w:bidi/>
      </w:pPr>
      <w:r>
        <w:rPr>
          <w:rFonts w:ascii="Arial" w:hAnsi="Arial" w:cs="Arial"/>
          <w:b w:val="0"/>
          <w:color w:val="173C34"/>
          <w:sz w:val="22"/>
        </w:rPr>
        <w:t>لا يُكلف السفير بالتفسير أو الإفتاء أو الإرشاد الشرعي المتخصص إلا بمؤهل موثق واعتماد منفصل. إجادة اللغة أو الحماس للدعوة لا تكفي لذلك.</w:t>
      </w:r>
    </w:p>
    <w:p>
      <w:pPr>
        <w:pStyle w:val="Heading2"/>
        <w:jc w:val="right"/>
        <w:bidi/>
      </w:pPr>
      <w:r>
        <w:rPr>
          <w:rFonts w:ascii="Arial" w:hAnsi="Arial" w:cs="Arial"/>
          <w:b/>
          <w:color w:val="5B2A83"/>
          <w:sz w:val="28"/>
        </w:rPr>
        <w:t>ما يستبعد المتقدم</w:t>
      </w:r>
    </w:p>
    <w:p>
      <w:pPr>
        <w:pStyle w:val="ListBullet"/>
        <w:jc w:val="right"/>
        <w:bidi/>
      </w:pPr>
      <w:r>
        <w:rPr>
          <w:rFonts w:ascii="Arial" w:hAnsi="Arial" w:cs="Arial"/>
          <w:b w:val="0"/>
          <w:color w:val="173C34"/>
          <w:sz w:val="21"/>
        </w:rPr>
        <w:t>خطاب الكراهية أو الإكراه أو الإهانة.</w:t>
      </w:r>
    </w:p>
    <w:p>
      <w:pPr>
        <w:pStyle w:val="ListBullet"/>
        <w:jc w:val="right"/>
        <w:bidi/>
      </w:pPr>
      <w:r>
        <w:rPr>
          <w:rFonts w:ascii="Arial" w:hAnsi="Arial" w:cs="Arial"/>
          <w:b w:val="0"/>
          <w:color w:val="173C34"/>
          <w:sz w:val="21"/>
        </w:rPr>
        <w:t>تزوير المؤهلات أو الهوية.</w:t>
      </w:r>
    </w:p>
    <w:p>
      <w:pPr>
        <w:pStyle w:val="ListBullet"/>
        <w:jc w:val="right"/>
        <w:bidi/>
      </w:pPr>
      <w:r>
        <w:rPr>
          <w:rFonts w:ascii="Arial" w:hAnsi="Arial" w:cs="Arial"/>
          <w:b w:val="0"/>
          <w:color w:val="173C34"/>
          <w:sz w:val="21"/>
        </w:rPr>
        <w:t>استغلال التواصل لمصلحة شخصية أو مالية أو حزبية.</w:t>
      </w:r>
    </w:p>
    <w:p>
      <w:pPr>
        <w:pStyle w:val="ListBullet"/>
        <w:jc w:val="right"/>
        <w:bidi/>
      </w:pPr>
      <w:r>
        <w:rPr>
          <w:rFonts w:ascii="Arial" w:hAnsi="Arial" w:cs="Arial"/>
          <w:b w:val="0"/>
          <w:color w:val="173C34"/>
          <w:sz w:val="21"/>
        </w:rPr>
        <w:t>جمع بيانات أو تبرعات دون تفويض.</w:t>
      </w:r>
    </w:p>
    <w:p>
      <w:pPr>
        <w:pStyle w:val="ListBullet"/>
        <w:jc w:val="right"/>
        <w:bidi/>
      </w:pPr>
      <w:r>
        <w:rPr>
          <w:rFonts w:ascii="Arial" w:hAnsi="Arial" w:cs="Arial"/>
          <w:b w:val="0"/>
          <w:color w:val="173C34"/>
          <w:sz w:val="21"/>
        </w:rPr>
        <w:t>انتهاك السرية أو حقوق الأطفال أو الفئات الهشة.</w:t>
      </w:r>
    </w:p>
    <w:p>
      <w:pPr>
        <w:pStyle w:val="ListBullet"/>
        <w:jc w:val="right"/>
        <w:bidi/>
      </w:pPr>
      <w:r>
        <w:rPr>
          <w:rFonts w:ascii="Arial" w:hAnsi="Arial" w:cs="Arial"/>
          <w:b w:val="0"/>
          <w:color w:val="173C34"/>
          <w:sz w:val="21"/>
        </w:rPr>
        <w:t>تكرار نشر مواد غير معتمدة بعد التنبيه.</w:t>
      </w:r>
    </w:p>
    <w:p>
      <w:pPr>
        <w:pStyle w:val="Heading1"/>
        <w:jc w:val="right"/>
        <w:bidi/>
      </w:pPr>
      <w:r>
        <w:rPr>
          <w:rFonts w:ascii="Arial" w:hAnsi="Arial" w:cs="Arial"/>
          <w:b/>
          <w:color w:val="073F36"/>
          <w:sz w:val="36"/>
        </w:rPr>
        <w:t>7. ميثاق التواصي</w:t>
      </w:r>
    </w:p>
    <w:p>
      <w:pPr>
        <w:jc w:val="right"/>
        <w:bidi/>
      </w:pPr>
      <w:r>
        <w:rPr>
          <w:rFonts w:ascii="Arial" w:hAnsi="Arial" w:cs="Arial"/>
          <w:b w:val="0"/>
          <w:color w:val="173C34"/>
          <w:sz w:val="22"/>
        </w:rPr>
        <w:t>أتعهد أمام الله ثم أمام ضميري والمؤسسة أن:</w:t>
      </w:r>
    </w:p>
    <w:p>
      <w:pPr>
        <w:pStyle w:val="ListBullet"/>
        <w:jc w:val="right"/>
        <w:bidi/>
      </w:pPr>
      <w:r>
        <w:rPr>
          <w:rFonts w:ascii="Arial" w:hAnsi="Arial" w:cs="Arial"/>
          <w:b w:val="0"/>
          <w:color w:val="173C34"/>
          <w:sz w:val="21"/>
        </w:rPr>
        <w:t>أدعو بالحكمة والموعظة الحسنة، وأحفظ كرامة كل إنسان.</w:t>
      </w:r>
    </w:p>
    <w:p>
      <w:pPr>
        <w:pStyle w:val="ListBullet"/>
        <w:jc w:val="right"/>
        <w:bidi/>
      </w:pPr>
      <w:r>
        <w:rPr>
          <w:rFonts w:ascii="Arial" w:hAnsi="Arial" w:cs="Arial"/>
          <w:b w:val="0"/>
          <w:color w:val="173C34"/>
          <w:sz w:val="21"/>
        </w:rPr>
        <w:t>أكون جسرًا أمينًا للمعنى، فلا أزيد في الرسالة ولا أنقص منها لهوى شخصي.</w:t>
      </w:r>
    </w:p>
    <w:p>
      <w:pPr>
        <w:pStyle w:val="ListBullet"/>
        <w:jc w:val="right"/>
        <w:bidi/>
      </w:pPr>
      <w:r>
        <w:rPr>
          <w:rFonts w:ascii="Arial" w:hAnsi="Arial" w:cs="Arial"/>
          <w:b w:val="0"/>
          <w:color w:val="173C34"/>
          <w:sz w:val="21"/>
        </w:rPr>
        <w:t>أقول «لا أعلم» وأحيل إلى المختص حين يتجاوز السؤال صلاحيتي.</w:t>
      </w:r>
    </w:p>
    <w:p>
      <w:pPr>
        <w:pStyle w:val="ListBullet"/>
        <w:jc w:val="right"/>
        <w:bidi/>
      </w:pPr>
      <w:r>
        <w:rPr>
          <w:rFonts w:ascii="Arial" w:hAnsi="Arial" w:cs="Arial"/>
          <w:b w:val="0"/>
          <w:color w:val="173C34"/>
          <w:sz w:val="21"/>
        </w:rPr>
        <w:t>أحمي البيانات والقصص الخاصة، ولا أنشرها دون موافقة صريحة.</w:t>
      </w:r>
    </w:p>
    <w:p>
      <w:pPr>
        <w:pStyle w:val="ListBullet"/>
        <w:jc w:val="right"/>
        <w:bidi/>
      </w:pPr>
      <w:r>
        <w:rPr>
          <w:rFonts w:ascii="Arial" w:hAnsi="Arial" w:cs="Arial"/>
          <w:b w:val="0"/>
          <w:color w:val="173C34"/>
          <w:sz w:val="21"/>
        </w:rPr>
        <w:t>لا أكره أحدًا ولا أستغل ضعفه أو حاجته أو إعاقته.</w:t>
      </w:r>
    </w:p>
    <w:p>
      <w:pPr>
        <w:pStyle w:val="ListBullet"/>
        <w:jc w:val="right"/>
        <w:bidi/>
      </w:pPr>
      <w:r>
        <w:rPr>
          <w:rFonts w:ascii="Arial" w:hAnsi="Arial" w:cs="Arial"/>
          <w:b w:val="0"/>
          <w:color w:val="173C34"/>
          <w:sz w:val="21"/>
        </w:rPr>
        <w:t>أحترم القوانين المحلية وسياسات المنصات وحقوق الملكية.</w:t>
      </w:r>
    </w:p>
    <w:p>
      <w:pPr>
        <w:pStyle w:val="ListBullet"/>
        <w:jc w:val="right"/>
        <w:bidi/>
      </w:pPr>
      <w:r>
        <w:rPr>
          <w:rFonts w:ascii="Arial" w:hAnsi="Arial" w:cs="Arial"/>
          <w:b w:val="0"/>
          <w:color w:val="173C34"/>
          <w:sz w:val="21"/>
        </w:rPr>
        <w:t>أرفض العنصرية والطائفية والحزبية والتشهير.</w:t>
      </w:r>
    </w:p>
    <w:p>
      <w:pPr>
        <w:pStyle w:val="ListBullet"/>
        <w:jc w:val="right"/>
        <w:bidi/>
      </w:pPr>
      <w:r>
        <w:rPr>
          <w:rFonts w:ascii="Arial" w:hAnsi="Arial" w:cs="Arial"/>
          <w:b w:val="0"/>
          <w:color w:val="173C34"/>
          <w:sz w:val="21"/>
        </w:rPr>
        <w:t>أستخدم المواد والحسابات المعتمدة وأوثق عملي بصدق.</w:t>
      </w:r>
    </w:p>
    <w:p>
      <w:pPr>
        <w:pStyle w:val="ListBullet"/>
        <w:jc w:val="right"/>
        <w:bidi/>
      </w:pPr>
      <w:r>
        <w:rPr>
          <w:rFonts w:ascii="Arial" w:hAnsi="Arial" w:cs="Arial"/>
          <w:b w:val="0"/>
          <w:color w:val="173C34"/>
          <w:sz w:val="21"/>
        </w:rPr>
        <w:t>أقبل المراجعة والتصحيح والتعلم المستمر.</w:t>
      </w:r>
    </w:p>
    <w:p>
      <w:pPr>
        <w:pStyle w:val="ListBullet"/>
        <w:jc w:val="right"/>
        <w:bidi/>
      </w:pPr>
      <w:r>
        <w:rPr>
          <w:rFonts w:ascii="Arial" w:hAnsi="Arial" w:cs="Arial"/>
          <w:b w:val="0"/>
          <w:color w:val="173C34"/>
          <w:sz w:val="21"/>
        </w:rPr>
        <w:t>أتوقف وأبلغ فورًا عند خطر على شخص أو بيانات أو سمعة الرسالة.</w:t>
      </w:r>
    </w:p>
    <w:p>
      <w:pPr>
        <w:pStyle w:val="Heading1"/>
        <w:jc w:val="right"/>
        <w:bidi/>
      </w:pPr>
      <w:r>
        <w:rPr>
          <w:rFonts w:ascii="Arial" w:hAnsi="Arial" w:cs="Arial"/>
          <w:b/>
          <w:color w:val="073F36"/>
          <w:sz w:val="36"/>
        </w:rPr>
        <w:t>8. المنهج</w:t>
      </w:r>
    </w:p>
    <w:p>
      <w:pPr>
        <w:jc w:val="right"/>
        <w:bidi/>
      </w:pPr>
      <w:r>
        <w:rPr>
          <w:rFonts w:ascii="Arial" w:hAnsi="Arial" w:cs="Arial"/>
          <w:b w:val="0"/>
          <w:color w:val="173C34"/>
          <w:sz w:val="22"/>
        </w:rPr>
        <w:t>يمر عمل السفير بثلاثة محاور:</w:t>
      </w:r>
    </w:p>
    <w:p>
      <w:pPr>
        <w:pStyle w:val="Heading2"/>
        <w:jc w:val="right"/>
        <w:bidi/>
      </w:pPr>
      <w:r>
        <w:rPr>
          <w:rFonts w:ascii="Arial" w:hAnsi="Arial" w:cs="Arial"/>
          <w:b/>
          <w:color w:val="5B2A83"/>
          <w:sz w:val="28"/>
        </w:rPr>
        <w:t>المعرفي</w:t>
      </w:r>
    </w:p>
    <w:p>
      <w:pPr>
        <w:jc w:val="right"/>
        <w:bidi/>
      </w:pPr>
      <w:r>
        <w:rPr>
          <w:rFonts w:ascii="Arial" w:hAnsi="Arial" w:cs="Arial"/>
          <w:b w:val="0"/>
          <w:color w:val="173C34"/>
          <w:sz w:val="22"/>
        </w:rPr>
        <w:t>التوحيد، الرسالة، القرآن، المبادئ الأساسية، فهم مواد المنصة، وحدود الدور ومصادر الإحالة.</w:t>
      </w:r>
    </w:p>
    <w:p>
      <w:pPr>
        <w:pStyle w:val="Heading2"/>
        <w:jc w:val="right"/>
        <w:bidi/>
      </w:pPr>
      <w:r>
        <w:rPr>
          <w:rFonts w:ascii="Arial" w:hAnsi="Arial" w:cs="Arial"/>
          <w:b/>
          <w:color w:val="5B2A83"/>
          <w:sz w:val="28"/>
        </w:rPr>
        <w:t>التربوي</w:t>
      </w:r>
    </w:p>
    <w:p>
      <w:pPr>
        <w:jc w:val="right"/>
        <w:bidi/>
      </w:pPr>
      <w:r>
        <w:rPr>
          <w:rFonts w:ascii="Arial" w:hAnsi="Arial" w:cs="Arial"/>
          <w:b w:val="0"/>
          <w:color w:val="173C34"/>
          <w:sz w:val="22"/>
        </w:rPr>
        <w:t>الإخلاص، الرحمة، الصبر، الاستماع، التواضع، الفروق الثقافية، آداب الحوار، وحماية الفئات الهشة.</w:t>
      </w:r>
    </w:p>
    <w:p>
      <w:pPr>
        <w:pStyle w:val="Heading2"/>
        <w:jc w:val="right"/>
        <w:bidi/>
      </w:pPr>
      <w:r>
        <w:rPr>
          <w:rFonts w:ascii="Arial" w:hAnsi="Arial" w:cs="Arial"/>
          <w:b/>
          <w:color w:val="5B2A83"/>
          <w:sz w:val="28"/>
        </w:rPr>
        <w:t>الحركي</w:t>
      </w:r>
    </w:p>
    <w:p>
      <w:pPr>
        <w:jc w:val="right"/>
        <w:bidi/>
      </w:pPr>
      <w:r>
        <w:rPr>
          <w:rFonts w:ascii="Arial" w:hAnsi="Arial" w:cs="Arial"/>
          <w:b w:val="0"/>
          <w:color w:val="173C34"/>
          <w:sz w:val="22"/>
        </w:rPr>
        <w:t>مراجعة مادة، اختبار صفحة، إنتاج محتوى معتمد، لقاء تعريفي، إحالة آمنة، مرافقة، وتقرير أثر.</w:t>
      </w:r>
    </w:p>
    <w:p>
      <w:pPr>
        <w:pStyle w:val="Heading1"/>
        <w:jc w:val="right"/>
        <w:bidi/>
      </w:pPr>
      <w:r>
        <w:rPr>
          <w:rFonts w:ascii="Arial" w:hAnsi="Arial" w:cs="Arial"/>
          <w:b/>
          <w:color w:val="073F36"/>
          <w:sz w:val="36"/>
        </w:rPr>
        <w:t>9. بروتوكول العمل: هداية</w:t>
      </w:r>
    </w:p>
    <w:p>
      <w:pPr>
        <w:jc w:val="right"/>
        <w:bidi/>
      </w:pPr>
      <w:r>
        <w:rPr>
          <w:rFonts w:ascii="Arial" w:hAnsi="Arial" w:cs="Arial"/>
          <w:b w:val="0"/>
          <w:color w:val="173C34"/>
          <w:sz w:val="22"/>
        </w:rPr>
        <w:t>هـ — هيّئ نفسك: راجع النية والمادة والصلاحية قبل التواصل.</w:t>
      </w:r>
    </w:p>
    <w:p>
      <w:pPr>
        <w:jc w:val="right"/>
        <w:bidi/>
      </w:pPr>
      <w:r>
        <w:rPr>
          <w:rFonts w:ascii="Arial" w:hAnsi="Arial" w:cs="Arial"/>
          <w:b w:val="0"/>
          <w:color w:val="173C34"/>
          <w:sz w:val="22"/>
        </w:rPr>
        <w:t>د — دقّق وافهم: افهم سؤال الإنسان ولغته وسياقه دون افتراض.</w:t>
      </w:r>
    </w:p>
    <w:p>
      <w:pPr>
        <w:jc w:val="right"/>
        <w:bidi/>
      </w:pPr>
      <w:r>
        <w:rPr>
          <w:rFonts w:ascii="Arial" w:hAnsi="Arial" w:cs="Arial"/>
          <w:b w:val="0"/>
          <w:color w:val="173C34"/>
          <w:sz w:val="22"/>
        </w:rPr>
        <w:t>ا — اعرض برحمة: استخدم الرسالة المعتمدة بلغة واضحة بلا ضغط.</w:t>
      </w:r>
    </w:p>
    <w:p>
      <w:pPr>
        <w:jc w:val="right"/>
        <w:bidi/>
      </w:pPr>
      <w:r>
        <w:rPr>
          <w:rFonts w:ascii="Arial" w:hAnsi="Arial" w:cs="Arial"/>
          <w:b w:val="0"/>
          <w:color w:val="173C34"/>
          <w:sz w:val="22"/>
        </w:rPr>
        <w:t>ي — يحِل إلى المختص: أحل الأسئلة الشرعية أو النفسية أو القانونية أو الأمنية.</w:t>
      </w:r>
    </w:p>
    <w:p>
      <w:pPr>
        <w:jc w:val="right"/>
        <w:bidi/>
      </w:pPr>
      <w:r>
        <w:rPr>
          <w:rFonts w:ascii="Arial" w:hAnsi="Arial" w:cs="Arial"/>
          <w:b w:val="0"/>
          <w:color w:val="173C34"/>
          <w:sz w:val="22"/>
        </w:rPr>
        <w:t>ة — ثبّت الأثر ووثّق: سجل المهمة دون بيانات زائدة، وقدم الملاحظة والجودة.</w:t>
      </w:r>
    </w:p>
    <w:p>
      <w:pPr>
        <w:pStyle w:val="Heading1"/>
        <w:jc w:val="right"/>
        <w:bidi/>
      </w:pPr>
      <w:r>
        <w:rPr>
          <w:rFonts w:ascii="Arial" w:hAnsi="Arial" w:cs="Arial"/>
          <w:b/>
          <w:color w:val="073F36"/>
          <w:sz w:val="36"/>
        </w:rPr>
        <w:t>10. دورة السفير</w:t>
      </w:r>
    </w:p>
    <w:p>
      <w:pPr>
        <w:pStyle w:val="ListBullet"/>
        <w:jc w:val="right"/>
        <w:bidi/>
      </w:pPr>
      <w:r>
        <w:rPr>
          <w:rFonts w:ascii="Arial" w:hAnsi="Arial" w:cs="Arial"/>
          <w:b w:val="0"/>
          <w:color w:val="173C34"/>
          <w:sz w:val="21"/>
        </w:rPr>
        <w:t>تقديم الطلب والموافقة على الخصوصية والميثاق.</w:t>
      </w:r>
    </w:p>
    <w:p>
      <w:pPr>
        <w:pStyle w:val="ListBullet"/>
        <w:jc w:val="right"/>
        <w:bidi/>
      </w:pPr>
      <w:r>
        <w:rPr>
          <w:rFonts w:ascii="Arial" w:hAnsi="Arial" w:cs="Arial"/>
          <w:b w:val="0"/>
          <w:color w:val="173C34"/>
          <w:sz w:val="21"/>
        </w:rPr>
        <w:t>فرز اللغة والخبرة والسلامة والتعارضات.</w:t>
      </w:r>
    </w:p>
    <w:p>
      <w:pPr>
        <w:pStyle w:val="ListBullet"/>
        <w:jc w:val="right"/>
        <w:bidi/>
      </w:pPr>
      <w:r>
        <w:rPr>
          <w:rFonts w:ascii="Arial" w:hAnsi="Arial" w:cs="Arial"/>
          <w:b w:val="0"/>
          <w:color w:val="173C34"/>
          <w:sz w:val="21"/>
        </w:rPr>
        <w:t>مقابلة قصيرة والتحقق من الهوية والمؤهلات عند الحاجة.</w:t>
      </w:r>
    </w:p>
    <w:p>
      <w:pPr>
        <w:pStyle w:val="ListBullet"/>
        <w:jc w:val="right"/>
        <w:bidi/>
      </w:pPr>
      <w:r>
        <w:rPr>
          <w:rFonts w:ascii="Arial" w:hAnsi="Arial" w:cs="Arial"/>
          <w:b w:val="0"/>
          <w:color w:val="173C34"/>
          <w:sz w:val="21"/>
        </w:rPr>
        <w:t>تدريب تأسيسي واختبار معرفي ولغوي وسيناريو أخلاقي.</w:t>
      </w:r>
    </w:p>
    <w:p>
      <w:pPr>
        <w:pStyle w:val="ListBullet"/>
        <w:jc w:val="right"/>
        <w:bidi/>
      </w:pPr>
      <w:r>
        <w:rPr>
          <w:rFonts w:ascii="Arial" w:hAnsi="Arial" w:cs="Arial"/>
          <w:b w:val="0"/>
          <w:color w:val="173C34"/>
          <w:sz w:val="21"/>
        </w:rPr>
        <w:t>سفير متدرب لمدة 30–60 يومًا.</w:t>
      </w:r>
    </w:p>
    <w:p>
      <w:pPr>
        <w:pStyle w:val="ListBullet"/>
        <w:jc w:val="right"/>
        <w:bidi/>
      </w:pPr>
      <w:r>
        <w:rPr>
          <w:rFonts w:ascii="Arial" w:hAnsi="Arial" w:cs="Arial"/>
          <w:b w:val="0"/>
          <w:color w:val="173C34"/>
          <w:sz w:val="21"/>
        </w:rPr>
        <w:t>اعتماد محدد الدور واللغة والصلاحيات لمدة سنة.</w:t>
      </w:r>
    </w:p>
    <w:p>
      <w:pPr>
        <w:pStyle w:val="ListBullet"/>
        <w:jc w:val="right"/>
        <w:bidi/>
      </w:pPr>
      <w:r>
        <w:rPr>
          <w:rFonts w:ascii="Arial" w:hAnsi="Arial" w:cs="Arial"/>
          <w:b w:val="0"/>
          <w:color w:val="173C34"/>
          <w:sz w:val="21"/>
        </w:rPr>
        <w:t>تكليفات شهرية وإشراف ومراجعة عينات.</w:t>
      </w:r>
    </w:p>
    <w:p>
      <w:pPr>
        <w:pStyle w:val="ListBullet"/>
        <w:jc w:val="right"/>
        <w:bidi/>
      </w:pPr>
      <w:r>
        <w:rPr>
          <w:rFonts w:ascii="Arial" w:hAnsi="Arial" w:cs="Arial"/>
          <w:b w:val="0"/>
          <w:color w:val="173C34"/>
          <w:sz w:val="21"/>
        </w:rPr>
        <w:t>تجديد أو تطوير أو تعليق الاعتماد بناءً على الجودة.</w:t>
      </w:r>
    </w:p>
    <w:p>
      <w:pPr>
        <w:pStyle w:val="Heading1"/>
        <w:jc w:val="right"/>
        <w:bidi/>
      </w:pPr>
      <w:r>
        <w:rPr>
          <w:rFonts w:ascii="Arial" w:hAnsi="Arial" w:cs="Arial"/>
          <w:b/>
          <w:color w:val="073F36"/>
          <w:sz w:val="36"/>
        </w:rPr>
        <w:t>11. مستويات الاعتماد</w:t>
      </w:r>
    </w:p>
    <w:p>
      <w:pPr>
        <w:pStyle w:val="ListBullet"/>
        <w:jc w:val="right"/>
        <w:bidi/>
      </w:pPr>
      <w:r>
        <w:rPr>
          <w:rFonts w:ascii="Arial" w:hAnsi="Arial" w:cs="Arial"/>
          <w:b w:val="0"/>
          <w:color w:val="173C34"/>
          <w:sz w:val="21"/>
        </w:rPr>
        <w:t>**مرشح:** أكمل التسجيل.</w:t>
      </w:r>
    </w:p>
    <w:p>
      <w:pPr>
        <w:pStyle w:val="ListBullet"/>
        <w:jc w:val="right"/>
        <w:bidi/>
      </w:pPr>
      <w:r>
        <w:rPr>
          <w:rFonts w:ascii="Arial" w:hAnsi="Arial" w:cs="Arial"/>
          <w:b w:val="0"/>
          <w:color w:val="173C34"/>
          <w:sz w:val="21"/>
        </w:rPr>
        <w:t>**متدرب:** اجتاز الفرز وبدأ التدريب.</w:t>
      </w:r>
    </w:p>
    <w:p>
      <w:pPr>
        <w:pStyle w:val="ListBullet"/>
        <w:jc w:val="right"/>
        <w:bidi/>
      </w:pPr>
      <w:r>
        <w:rPr>
          <w:rFonts w:ascii="Arial" w:hAnsi="Arial" w:cs="Arial"/>
          <w:b w:val="0"/>
          <w:color w:val="173C34"/>
          <w:sz w:val="21"/>
        </w:rPr>
        <w:t>**سفير مساعد:** يعمل تحت مراجعة مسبقة لكل مخرج.</w:t>
      </w:r>
    </w:p>
    <w:p>
      <w:pPr>
        <w:pStyle w:val="ListBullet"/>
        <w:jc w:val="right"/>
        <w:bidi/>
      </w:pPr>
      <w:r>
        <w:rPr>
          <w:rFonts w:ascii="Arial" w:hAnsi="Arial" w:cs="Arial"/>
          <w:b w:val="0"/>
          <w:color w:val="173C34"/>
          <w:sz w:val="21"/>
        </w:rPr>
        <w:t>**سفير معتمد:** ينفذ المهام المحددة ضمن الصلاحيات.</w:t>
      </w:r>
    </w:p>
    <w:p>
      <w:pPr>
        <w:pStyle w:val="ListBullet"/>
        <w:jc w:val="right"/>
        <w:bidi/>
      </w:pPr>
      <w:r>
        <w:rPr>
          <w:rFonts w:ascii="Arial" w:hAnsi="Arial" w:cs="Arial"/>
          <w:b w:val="0"/>
          <w:color w:val="173C34"/>
          <w:sz w:val="21"/>
        </w:rPr>
        <w:t>**منسق لغة:** يراجع السفراء والمحتوى ويوحد المصطلحات.</w:t>
      </w:r>
    </w:p>
    <w:p>
      <w:pPr>
        <w:pStyle w:val="ListBullet"/>
        <w:jc w:val="right"/>
        <w:bidi/>
      </w:pPr>
      <w:r>
        <w:rPr>
          <w:rFonts w:ascii="Arial" w:hAnsi="Arial" w:cs="Arial"/>
          <w:b w:val="0"/>
          <w:color w:val="173C34"/>
          <w:sz w:val="21"/>
        </w:rPr>
        <w:t>**سفير خبير:** تدريب ومراجعة تخصصية بعد اعتماد مستقل.</w:t>
      </w:r>
    </w:p>
    <w:p>
      <w:pPr>
        <w:pStyle w:val="Heading1"/>
        <w:jc w:val="right"/>
        <w:bidi/>
      </w:pPr>
      <w:r>
        <w:rPr>
          <w:rFonts w:ascii="Arial" w:hAnsi="Arial" w:cs="Arial"/>
          <w:b/>
          <w:color w:val="073F36"/>
          <w:sz w:val="36"/>
        </w:rPr>
        <w:t>12. آلية المحتوى</w:t>
      </w:r>
    </w:p>
    <w:p>
      <w:pPr>
        <w:jc w:val="right"/>
        <w:bidi/>
      </w:pPr>
      <w:r>
        <w:rPr>
          <w:rFonts w:ascii="Arial" w:hAnsi="Arial" w:cs="Arial"/>
          <w:b w:val="0"/>
          <w:color w:val="173C34"/>
          <w:sz w:val="22"/>
        </w:rPr>
        <w:t>لا يُنشر النص مباشرة بعد الترجمة. يمر عبر: أصل عربي معتمد ← ترجمة أولى ← مراجعة لغوية مستقلة ← مراجعة معنى/شرعية بحسب الخطورة ← اختبار فهم محلي ← اعتماد وإصدار ← مراقبة وتصحيح.</w:t>
      </w:r>
    </w:p>
    <w:p>
      <w:pPr>
        <w:pStyle w:val="Heading1"/>
        <w:jc w:val="right"/>
        <w:bidi/>
      </w:pPr>
      <w:r>
        <w:rPr>
          <w:rFonts w:ascii="Arial" w:hAnsi="Arial" w:cs="Arial"/>
          <w:b/>
          <w:color w:val="073F36"/>
          <w:sz w:val="36"/>
        </w:rPr>
        <w:t>13. مؤشرات الأداء</w:t>
      </w:r>
    </w:p>
    <w:p>
      <w:pPr>
        <w:pStyle w:val="ListBullet"/>
        <w:jc w:val="right"/>
        <w:bidi/>
      </w:pPr>
      <w:r>
        <w:rPr>
          <w:rFonts w:ascii="Arial" w:hAnsi="Arial" w:cs="Arial"/>
          <w:b w:val="0"/>
          <w:color w:val="173C34"/>
          <w:sz w:val="21"/>
        </w:rPr>
        <w:t>وجود سفير أساسي وبديل لكل لغة.</w:t>
      </w:r>
    </w:p>
    <w:p>
      <w:pPr>
        <w:pStyle w:val="ListBullet"/>
        <w:jc w:val="right"/>
        <w:bidi/>
      </w:pPr>
      <w:r>
        <w:rPr>
          <w:rFonts w:ascii="Arial" w:hAnsi="Arial" w:cs="Arial"/>
          <w:b w:val="0"/>
          <w:color w:val="173C34"/>
          <w:sz w:val="21"/>
        </w:rPr>
        <w:t>نسبة المواد التي اجتازت مراجعتين.</w:t>
      </w:r>
    </w:p>
    <w:p>
      <w:pPr>
        <w:pStyle w:val="ListBullet"/>
        <w:jc w:val="right"/>
        <w:bidi/>
      </w:pPr>
      <w:r>
        <w:rPr>
          <w:rFonts w:ascii="Arial" w:hAnsi="Arial" w:cs="Arial"/>
          <w:b w:val="0"/>
          <w:color w:val="173C34"/>
          <w:sz w:val="21"/>
        </w:rPr>
        <w:t>زمن الاستجابة والإحالة.</w:t>
      </w:r>
    </w:p>
    <w:p>
      <w:pPr>
        <w:pStyle w:val="ListBullet"/>
        <w:jc w:val="right"/>
        <w:bidi/>
      </w:pPr>
      <w:r>
        <w:rPr>
          <w:rFonts w:ascii="Arial" w:hAnsi="Arial" w:cs="Arial"/>
          <w:b w:val="0"/>
          <w:color w:val="173C34"/>
          <w:sz w:val="21"/>
        </w:rPr>
        <w:t>عدد مشكلات الفهم أو الوصول المكتشفة والمغلقة.</w:t>
      </w:r>
    </w:p>
    <w:p>
      <w:pPr>
        <w:pStyle w:val="ListBullet"/>
        <w:jc w:val="right"/>
        <w:bidi/>
      </w:pPr>
      <w:r>
        <w:rPr>
          <w:rFonts w:ascii="Arial" w:hAnsi="Arial" w:cs="Arial"/>
          <w:b w:val="0"/>
          <w:color w:val="173C34"/>
          <w:sz w:val="21"/>
        </w:rPr>
        <w:t>جودة التواصل ورضا المستفيد، لا عدد الرسائل فقط.</w:t>
      </w:r>
    </w:p>
    <w:p>
      <w:pPr>
        <w:pStyle w:val="ListBullet"/>
        <w:jc w:val="right"/>
        <w:bidi/>
      </w:pPr>
      <w:r>
        <w:rPr>
          <w:rFonts w:ascii="Arial" w:hAnsi="Arial" w:cs="Arial"/>
          <w:b w:val="0"/>
          <w:color w:val="173C34"/>
          <w:sz w:val="21"/>
        </w:rPr>
        <w:t>الالتزام بالتدريب والتقارير وعدم وقوع مخالفات حرجة.</w:t>
      </w:r>
    </w:p>
    <w:p>
      <w:pPr>
        <w:pStyle w:val="Heading1"/>
        <w:jc w:val="right"/>
        <w:bidi/>
      </w:pPr>
      <w:r>
        <w:rPr>
          <w:rFonts w:ascii="Arial" w:hAnsi="Arial" w:cs="Arial"/>
          <w:b/>
          <w:color w:val="073F36"/>
          <w:sz w:val="36"/>
        </w:rPr>
        <w:t>14. حماية الناس والمؤسسة</w:t>
      </w:r>
    </w:p>
    <w:p>
      <w:pPr>
        <w:pStyle w:val="ListBullet"/>
        <w:jc w:val="right"/>
        <w:bidi/>
      </w:pPr>
      <w:r>
        <w:rPr>
          <w:rFonts w:ascii="Arial" w:hAnsi="Arial" w:cs="Arial"/>
          <w:b w:val="0"/>
          <w:color w:val="173C34"/>
          <w:sz w:val="21"/>
        </w:rPr>
        <w:t>الحد الأدنى من جمع البيانات.</w:t>
      </w:r>
    </w:p>
    <w:p>
      <w:pPr>
        <w:pStyle w:val="ListBullet"/>
        <w:jc w:val="right"/>
        <w:bidi/>
      </w:pPr>
      <w:r>
        <w:rPr>
          <w:rFonts w:ascii="Arial" w:hAnsi="Arial" w:cs="Arial"/>
          <w:b w:val="0"/>
          <w:color w:val="173C34"/>
          <w:sz w:val="21"/>
        </w:rPr>
        <w:t>منع التواصل الخاص غير المراقب مع القاصرين.</w:t>
      </w:r>
    </w:p>
    <w:p>
      <w:pPr>
        <w:pStyle w:val="ListBullet"/>
        <w:jc w:val="right"/>
        <w:bidi/>
      </w:pPr>
      <w:r>
        <w:rPr>
          <w:rFonts w:ascii="Arial" w:hAnsi="Arial" w:cs="Arial"/>
          <w:b w:val="0"/>
          <w:color w:val="173C34"/>
          <w:sz w:val="21"/>
        </w:rPr>
        <w:t>عدم طلب المال أو الوثائق أو الصور الحساسة.</w:t>
      </w:r>
    </w:p>
    <w:p>
      <w:pPr>
        <w:pStyle w:val="ListBullet"/>
        <w:jc w:val="right"/>
        <w:bidi/>
      </w:pPr>
      <w:r>
        <w:rPr>
          <w:rFonts w:ascii="Arial" w:hAnsi="Arial" w:cs="Arial"/>
          <w:b w:val="0"/>
          <w:color w:val="173C34"/>
          <w:sz w:val="21"/>
        </w:rPr>
        <w:t>استخدام قنوات المؤسسة كلما أمكن.</w:t>
      </w:r>
    </w:p>
    <w:p>
      <w:pPr>
        <w:pStyle w:val="ListBullet"/>
        <w:jc w:val="right"/>
        <w:bidi/>
      </w:pPr>
      <w:r>
        <w:rPr>
          <w:rFonts w:ascii="Arial" w:hAnsi="Arial" w:cs="Arial"/>
          <w:b w:val="0"/>
          <w:color w:val="173C34"/>
          <w:sz w:val="21"/>
        </w:rPr>
        <w:t>حق المستفيد في التوقف والحذف والشكوى.</w:t>
      </w:r>
    </w:p>
    <w:p>
      <w:pPr>
        <w:pStyle w:val="ListBullet"/>
        <w:jc w:val="right"/>
        <w:bidi/>
      </w:pPr>
      <w:r>
        <w:rPr>
          <w:rFonts w:ascii="Arial" w:hAnsi="Arial" w:cs="Arial"/>
          <w:b w:val="0"/>
          <w:color w:val="173C34"/>
          <w:sz w:val="21"/>
        </w:rPr>
        <w:t>تعليق الصلاحية فور وجود خطر جدي إلى حين المراجعة.</w:t>
      </w:r>
    </w:p>
    <w:p>
      <w:pPr>
        <w:pStyle w:val="Heading1"/>
        <w:jc w:val="right"/>
        <w:bidi/>
      </w:pPr>
      <w:r>
        <w:rPr>
          <w:rFonts w:ascii="Arial" w:hAnsi="Arial" w:cs="Arial"/>
          <w:b/>
          <w:color w:val="073F36"/>
          <w:sz w:val="36"/>
        </w:rPr>
        <w:t>15. عبارة الاستقطاب</w:t>
      </w:r>
    </w:p>
    <w:p>
      <w:pPr>
        <w:jc w:val="right"/>
        <w:bidi/>
      </w:pPr>
      <w:r>
        <w:rPr>
          <w:rFonts w:ascii="Arial" w:hAnsi="Arial" w:cs="Arial"/>
          <w:b w:val="0"/>
          <w:color w:val="173C34"/>
          <w:sz w:val="22"/>
        </w:rPr>
        <w:t>لغةٌ في قلبك قد تفتح باب الهداية لإنسان. كن واحدًا من مئة سفير يحملون الرحمة بمئة لغة.</w:t>
      </w:r>
    </w:p>
    <w:p>
      <w:r>
        <w:br w:type="page"/>
      </w:r>
    </w:p>
    <w:p>
      <w:pPr>
        <w:pStyle w:val="Heading1"/>
        <w:jc w:val="right"/>
        <w:bidi/>
      </w:pPr>
      <w:r>
        <w:rPr>
          <w:rFonts w:ascii="Arial" w:hAnsi="Arial" w:cs="Arial"/>
          <w:b/>
          <w:color w:val="073F36"/>
          <w:sz w:val="36"/>
        </w:rPr>
        <w:t>صفحة الاعتماد</w:t>
      </w:r>
    </w:p>
    <w:tbl>
      <w:tblPr>
        <w:tblW w:type="auto" w:w="0"/>
        <w:tblLayout w:type="fixed"/>
        <w:tblLook w:firstColumn="1" w:firstRow="1" w:lastColumn="0" w:lastRow="0" w:noHBand="0" w:noVBand="1" w:val="04A0"/>
      </w:tblPr>
      <w:tblGrid>
        <w:gridCol w:w="4896"/>
        <w:gridCol w:w="4896"/>
      </w:tblGrid>
      <w:tr>
        <w:tc>
          <w:tcPr>
            <w:tcW w:type="dxa" w:w="2880"/>
            <w:shd w:fill="F5F0E4"/>
            <w:vAlign w:val="center"/>
          </w:tcPr>
          <w:p>
            <w:pPr>
              <w:jc w:val="right"/>
              <w:bidi/>
            </w:pPr>
            <w:r>
              <w:rPr>
                <w:rFonts w:ascii="Arial" w:hAnsi="Arial" w:cs="Arial"/>
                <w:b/>
                <w:color w:val="073F36"/>
                <w:sz w:val="18"/>
              </w:rPr>
              <w:t>مالك المبادرة</w:t>
            </w:r>
          </w:p>
        </w:tc>
        <w:tc>
          <w:tcPr>
            <w:tcW w:type="dxa" w:w="6336"/>
            <w:vAlign w:val="center"/>
          </w:tcPr>
          <w:p>
            <w:pPr>
              <w:jc w:val="right"/>
              <w:bidi/>
            </w:pPr>
            <w:r>
              <w:rPr>
                <w:rFonts w:ascii="Arial" w:hAnsi="Arial" w:cs="Arial"/>
                <w:b w:val="0"/>
                <w:color w:val="667A73"/>
                <w:sz w:val="18"/>
              </w:rPr>
              <w:t>________________________________</w:t>
            </w:r>
          </w:p>
        </w:tc>
      </w:tr>
      <w:tr>
        <w:tc>
          <w:tcPr>
            <w:tcW w:type="dxa" w:w="2880"/>
            <w:shd w:fill="F5F0E4"/>
            <w:vAlign w:val="center"/>
          </w:tcPr>
          <w:p>
            <w:pPr>
              <w:jc w:val="right"/>
              <w:bidi/>
            </w:pPr>
            <w:r>
              <w:rPr>
                <w:rFonts w:ascii="Arial" w:hAnsi="Arial" w:cs="Arial"/>
                <w:b/>
                <w:color w:val="073F36"/>
                <w:sz w:val="18"/>
              </w:rPr>
              <w:t>المراجع الشرعي/العلمي</w:t>
            </w:r>
          </w:p>
        </w:tc>
        <w:tc>
          <w:tcPr>
            <w:tcW w:type="dxa" w:w="6336"/>
            <w:vAlign w:val="center"/>
          </w:tcPr>
          <w:p>
            <w:pPr>
              <w:jc w:val="right"/>
              <w:bidi/>
            </w:pPr>
            <w:r>
              <w:rPr>
                <w:rFonts w:ascii="Arial" w:hAnsi="Arial" w:cs="Arial"/>
                <w:b w:val="0"/>
                <w:color w:val="667A73"/>
                <w:sz w:val="18"/>
              </w:rPr>
              <w:t>________________________________</w:t>
            </w:r>
          </w:p>
        </w:tc>
      </w:tr>
      <w:tr>
        <w:tc>
          <w:tcPr>
            <w:tcW w:type="dxa" w:w="2880"/>
            <w:shd w:fill="F5F0E4"/>
            <w:vAlign w:val="center"/>
          </w:tcPr>
          <w:p>
            <w:pPr>
              <w:jc w:val="right"/>
              <w:bidi/>
            </w:pPr>
            <w:r>
              <w:rPr>
                <w:rFonts w:ascii="Arial" w:hAnsi="Arial" w:cs="Arial"/>
                <w:b/>
                <w:color w:val="073F36"/>
                <w:sz w:val="18"/>
              </w:rPr>
              <w:t>مسؤول الجودة</w:t>
            </w:r>
          </w:p>
        </w:tc>
        <w:tc>
          <w:tcPr>
            <w:tcW w:type="dxa" w:w="6336"/>
            <w:vAlign w:val="center"/>
          </w:tcPr>
          <w:p>
            <w:pPr>
              <w:jc w:val="right"/>
              <w:bidi/>
            </w:pPr>
            <w:r>
              <w:rPr>
                <w:rFonts w:ascii="Arial" w:hAnsi="Arial" w:cs="Arial"/>
                <w:b w:val="0"/>
                <w:color w:val="667A73"/>
                <w:sz w:val="18"/>
              </w:rPr>
              <w:t>________________________________</w:t>
            </w:r>
          </w:p>
        </w:tc>
      </w:tr>
      <w:tr>
        <w:tc>
          <w:tcPr>
            <w:tcW w:type="dxa" w:w="2880"/>
            <w:shd w:fill="F5F0E4"/>
            <w:vAlign w:val="center"/>
          </w:tcPr>
          <w:p>
            <w:pPr>
              <w:jc w:val="right"/>
              <w:bidi/>
            </w:pPr>
            <w:r>
              <w:rPr>
                <w:rFonts w:ascii="Arial" w:hAnsi="Arial" w:cs="Arial"/>
                <w:b/>
                <w:color w:val="073F36"/>
                <w:sz w:val="18"/>
              </w:rPr>
              <w:t>تاريخ الاعتماد</w:t>
            </w:r>
          </w:p>
        </w:tc>
        <w:tc>
          <w:tcPr>
            <w:tcW w:type="dxa" w:w="6336"/>
            <w:vAlign w:val="center"/>
          </w:tcPr>
          <w:p>
            <w:pPr>
              <w:jc w:val="right"/>
              <w:bidi/>
            </w:pPr>
            <w:r>
              <w:rPr>
                <w:rFonts w:ascii="Arial" w:hAnsi="Arial" w:cs="Arial"/>
                <w:b w:val="0"/>
                <w:color w:val="667A73"/>
                <w:sz w:val="18"/>
              </w:rPr>
              <w:t>________________________________</w:t>
            </w:r>
          </w:p>
        </w:tc>
      </w:tr>
      <w:tr>
        <w:tc>
          <w:tcPr>
            <w:tcW w:type="dxa" w:w="2880"/>
            <w:shd w:fill="F5F0E4"/>
            <w:vAlign w:val="center"/>
          </w:tcPr>
          <w:p>
            <w:pPr>
              <w:jc w:val="right"/>
              <w:bidi/>
            </w:pPr>
            <w:r>
              <w:rPr>
                <w:rFonts w:ascii="Arial" w:hAnsi="Arial" w:cs="Arial"/>
                <w:b/>
                <w:color w:val="073F36"/>
                <w:sz w:val="18"/>
              </w:rPr>
              <w:t>رقم الإصدار</w:t>
            </w:r>
          </w:p>
        </w:tc>
        <w:tc>
          <w:tcPr>
            <w:tcW w:type="dxa" w:w="6336"/>
            <w:vAlign w:val="center"/>
          </w:tcPr>
          <w:p>
            <w:pPr>
              <w:jc w:val="right"/>
              <w:bidi/>
            </w:pPr>
            <w:r>
              <w:rPr>
                <w:rFonts w:ascii="Arial" w:hAnsi="Arial" w:cs="Arial"/>
                <w:b w:val="0"/>
                <w:color w:val="667A73"/>
                <w:sz w:val="18"/>
              </w:rPr>
              <w:t>________________________________</w:t>
            </w:r>
          </w:p>
        </w:tc>
      </w:tr>
    </w:tbl>
    <w:p>
      <w:pPr>
        <w:spacing w:before="360"/>
        <w:jc w:val="right"/>
        <w:bidi/>
      </w:pPr>
      <w:r>
        <w:rPr>
          <w:rFonts w:ascii="Arial" w:hAnsi="Arial" w:cs="Arial"/>
          <w:b/>
          <w:color w:val="5B2A83"/>
          <w:sz w:val="18"/>
        </w:rPr>
        <w:t>تنبيه: هذه الوثيقة مسودة تشغيلية جاهزة للمراجعة. لا يصبح السفير ممثلًا قانونيًا أو شرعيًا للمؤسسة إلا وفق اعتماد وصلاحيات مكتوبة.</w:t>
      </w:r>
    </w:p>
    <w:sectPr w:rsidR="00FC693F" w:rsidRPr="0006063C" w:rsidSect="00034616">
      <w:headerReference w:type="default" r:id="rId9"/>
      <w:footerReference w:type="default" r:id="rId10"/>
      <w:pgSz w:w="12240" w:h="15840"/>
      <w:pgMar w:top="1080" w:right="1224" w:bottom="1008"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s="Arial"/>
        <w:b w:val="0"/>
        <w:color w:val="667A73"/>
        <w:sz w:val="16"/>
      </w:rPr>
      <w:t xml:space="preserve">مئة سفير · مئة لغة    |    </w:t>
    </w:r>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pPr>
    <w:r>
      <w:rPr>
        <w:rFonts w:ascii="Arial" w:hAnsi="Arial" w:cs="Arial"/>
        <w:b w:val="0"/>
        <w:color w:val="667A73"/>
        <w:sz w:val="16"/>
      </w:rPr>
      <w:t>مؤسسة ISMA  |  سفراء الهداية  |  الوثيقة التأسيسية والتشغيلية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173C3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rial" w:hAnsi="Arial"/>
      <w:b/>
      <w:bCs/>
      <w:color w:val="073F36"/>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rial" w:hAnsi="Arial"/>
      <w:b/>
      <w:bCs/>
      <w:color w:val="5B2A83"/>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073F3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